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CC20" w14:textId="77777777" w:rsidR="006F5AD1" w:rsidRDefault="006F5AD1" w:rsidP="004E5A7F">
      <w:pPr>
        <w:rPr>
          <w:b/>
        </w:rPr>
      </w:pPr>
    </w:p>
    <w:p w14:paraId="4B0218DA" w14:textId="77777777" w:rsidR="006F5AD1" w:rsidRDefault="006F5AD1" w:rsidP="004E5A7F">
      <w:pPr>
        <w:rPr>
          <w:b/>
        </w:rPr>
      </w:pPr>
    </w:p>
    <w:p w14:paraId="16F13A14" w14:textId="77777777" w:rsidR="006F5AD1" w:rsidRDefault="006F5AD1" w:rsidP="004E5A7F">
      <w:pPr>
        <w:rPr>
          <w:b/>
        </w:rPr>
      </w:pPr>
    </w:p>
    <w:p w14:paraId="28671D55" w14:textId="77777777" w:rsidR="006F5AD1" w:rsidRDefault="006F5AD1" w:rsidP="004E5A7F">
      <w:pPr>
        <w:rPr>
          <w:b/>
        </w:rPr>
      </w:pPr>
    </w:p>
    <w:p w14:paraId="37E957A0" w14:textId="77777777" w:rsidR="006F5AD1" w:rsidRDefault="006F5AD1" w:rsidP="004E5A7F">
      <w:pPr>
        <w:rPr>
          <w:b/>
        </w:rPr>
      </w:pPr>
    </w:p>
    <w:p w14:paraId="030A0EC5" w14:textId="77777777" w:rsidR="006F5AD1" w:rsidRDefault="006F5AD1" w:rsidP="004E5A7F">
      <w:pPr>
        <w:rPr>
          <w:b/>
        </w:rPr>
      </w:pPr>
    </w:p>
    <w:p w14:paraId="7DD43927" w14:textId="77777777" w:rsidR="006F5AD1" w:rsidRDefault="006F5AD1" w:rsidP="004E5A7F">
      <w:pPr>
        <w:rPr>
          <w:b/>
        </w:rPr>
      </w:pPr>
    </w:p>
    <w:p w14:paraId="3B88C067" w14:textId="77777777" w:rsidR="006F5AD1" w:rsidRDefault="006F5AD1" w:rsidP="004E5A7F">
      <w:pPr>
        <w:rPr>
          <w:b/>
        </w:rPr>
      </w:pPr>
    </w:p>
    <w:p w14:paraId="1AF31EEB" w14:textId="77777777" w:rsidR="006F5AD1" w:rsidRDefault="006F5AD1" w:rsidP="004E5A7F">
      <w:pPr>
        <w:rPr>
          <w:b/>
        </w:rPr>
      </w:pPr>
    </w:p>
    <w:p w14:paraId="236AA333" w14:textId="77777777" w:rsidR="006F5AD1" w:rsidRDefault="006F5AD1" w:rsidP="004E5A7F">
      <w:pPr>
        <w:rPr>
          <w:b/>
        </w:rPr>
      </w:pPr>
    </w:p>
    <w:p w14:paraId="79D118E0" w14:textId="77777777" w:rsidR="006F5AD1" w:rsidRDefault="006F5AD1" w:rsidP="006F5AD1">
      <w:pPr>
        <w:rPr>
          <w:b/>
        </w:rPr>
      </w:pPr>
    </w:p>
    <w:p w14:paraId="11F0590C" w14:textId="65B4521E" w:rsidR="006F5AD1" w:rsidRPr="006F5AD1" w:rsidRDefault="006F5AD1" w:rsidP="006F5AD1">
      <w:pPr>
        <w:jc w:val="center"/>
      </w:pPr>
      <w:r w:rsidRPr="00AF4288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EEB4137" wp14:editId="0231B426">
            <wp:simplePos x="0" y="0"/>
            <wp:positionH relativeFrom="margin">
              <wp:posOffset>4572000</wp:posOffset>
            </wp:positionH>
            <wp:positionV relativeFrom="margin">
              <wp:posOffset>-459223</wp:posOffset>
            </wp:positionV>
            <wp:extent cx="1108075" cy="20256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202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43B">
        <w:rPr>
          <w:rFonts w:cstheme="minorHAnsi"/>
          <w:sz w:val="72"/>
        </w:rPr>
        <w:t>Project Initiation</w:t>
      </w:r>
    </w:p>
    <w:p w14:paraId="4C94EEAF" w14:textId="276C6C80" w:rsidR="006F5AD1" w:rsidRDefault="006F5AD1" w:rsidP="006F5AD1">
      <w:pPr>
        <w:pStyle w:val="Title"/>
        <w:jc w:val="center"/>
        <w:rPr>
          <w:rFonts w:asciiTheme="minorHAnsi" w:hAnsiTheme="minorHAnsi" w:cstheme="minorHAnsi"/>
          <w:sz w:val="72"/>
        </w:rPr>
      </w:pPr>
      <w:r w:rsidRPr="00E6143B">
        <w:rPr>
          <w:rFonts w:asciiTheme="minorHAnsi" w:hAnsiTheme="minorHAnsi" w:cstheme="minorHAnsi"/>
          <w:sz w:val="72"/>
        </w:rPr>
        <w:t>Guidelines</w:t>
      </w:r>
    </w:p>
    <w:p w14:paraId="3F7015F0" w14:textId="722C40EA" w:rsidR="006F5AD1" w:rsidRDefault="006F5AD1" w:rsidP="006F5AD1">
      <w:pPr>
        <w:pStyle w:val="Title"/>
        <w:jc w:val="center"/>
        <w:rPr>
          <w:rFonts w:asciiTheme="minorHAnsi" w:hAnsiTheme="minorHAnsi" w:cstheme="minorHAnsi"/>
          <w:sz w:val="72"/>
        </w:rPr>
      </w:pPr>
      <w:r>
        <w:rPr>
          <w:rFonts w:asciiTheme="minorHAnsi" w:hAnsiTheme="minorHAnsi" w:cstheme="minorHAnsi"/>
          <w:sz w:val="72"/>
        </w:rPr>
        <w:t>f</w:t>
      </w:r>
      <w:r w:rsidRPr="00E6143B">
        <w:rPr>
          <w:rFonts w:asciiTheme="minorHAnsi" w:hAnsiTheme="minorHAnsi" w:cstheme="minorHAnsi"/>
          <w:sz w:val="72"/>
        </w:rPr>
        <w:t>or</w:t>
      </w:r>
      <w:r>
        <w:rPr>
          <w:rFonts w:asciiTheme="minorHAnsi" w:hAnsiTheme="minorHAnsi" w:cstheme="minorHAnsi"/>
          <w:sz w:val="72"/>
        </w:rPr>
        <w:t xml:space="preserve"> </w:t>
      </w:r>
    </w:p>
    <w:p w14:paraId="6E605B2C" w14:textId="2763EC61" w:rsidR="006F5AD1" w:rsidRPr="00E6143B" w:rsidRDefault="006F5AD1" w:rsidP="006F5AD1">
      <w:pPr>
        <w:pStyle w:val="Title"/>
        <w:jc w:val="center"/>
        <w:rPr>
          <w:rFonts w:asciiTheme="minorHAnsi" w:hAnsiTheme="minorHAnsi" w:cstheme="minorHAnsi"/>
          <w:sz w:val="72"/>
        </w:rPr>
      </w:pPr>
      <w:r w:rsidRPr="00E6143B">
        <w:rPr>
          <w:rFonts w:asciiTheme="minorHAnsi" w:hAnsiTheme="minorHAnsi" w:cstheme="minorHAnsi"/>
          <w:sz w:val="72"/>
        </w:rPr>
        <w:t>Collaboration</w:t>
      </w:r>
    </w:p>
    <w:p w14:paraId="0196A9BD" w14:textId="77777777" w:rsidR="006F5AD1" w:rsidRDefault="006F5AD1" w:rsidP="006F5AD1"/>
    <w:p w14:paraId="0BFA69CA" w14:textId="77777777" w:rsidR="006F5AD1" w:rsidRDefault="006F5AD1" w:rsidP="006F5AD1"/>
    <w:p w14:paraId="20B931B8" w14:textId="77777777" w:rsidR="006F5AD1" w:rsidRDefault="006F5AD1" w:rsidP="006F5AD1"/>
    <w:p w14:paraId="7BB51BD2" w14:textId="77777777" w:rsidR="006F5AD1" w:rsidRDefault="006F5AD1" w:rsidP="006F5AD1"/>
    <w:p w14:paraId="6DF943C8" w14:textId="77777777" w:rsidR="006F5AD1" w:rsidRDefault="006F5AD1" w:rsidP="006F5AD1"/>
    <w:p w14:paraId="0EAA34E3" w14:textId="77777777" w:rsidR="006F5AD1" w:rsidRDefault="006F5AD1" w:rsidP="006F5AD1"/>
    <w:p w14:paraId="32BBAB3A" w14:textId="77777777" w:rsidR="006F5AD1" w:rsidRDefault="006F5AD1" w:rsidP="006F5AD1"/>
    <w:p w14:paraId="64A4A3D7" w14:textId="77777777" w:rsidR="006F5AD1" w:rsidRDefault="006F5AD1" w:rsidP="006F5AD1"/>
    <w:p w14:paraId="1B2E4BCB" w14:textId="77777777" w:rsidR="006F5AD1" w:rsidRDefault="006F5AD1" w:rsidP="006F5AD1"/>
    <w:p w14:paraId="5A1E78AC" w14:textId="77777777" w:rsidR="006F5AD1" w:rsidRDefault="006F5AD1" w:rsidP="006F5A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401"/>
      </w:tblGrid>
      <w:tr w:rsidR="006F5AD1" w:rsidRPr="00AF4288" w14:paraId="3397324B" w14:textId="77777777" w:rsidTr="00FA1C87">
        <w:tc>
          <w:tcPr>
            <w:tcW w:w="1151" w:type="dxa"/>
          </w:tcPr>
          <w:p w14:paraId="5E0834BA" w14:textId="77777777" w:rsidR="006F5AD1" w:rsidRPr="00AF4288" w:rsidRDefault="006F5AD1" w:rsidP="00FA1C87">
            <w:pPr>
              <w:rPr>
                <w:rFonts w:cstheme="minorHAnsi"/>
              </w:rPr>
            </w:pPr>
            <w:r w:rsidRPr="00AF4288">
              <w:rPr>
                <w:rFonts w:cstheme="minorHAnsi"/>
              </w:rPr>
              <w:t>Approved:</w:t>
            </w:r>
          </w:p>
        </w:tc>
        <w:tc>
          <w:tcPr>
            <w:tcW w:w="1401" w:type="dxa"/>
          </w:tcPr>
          <w:p w14:paraId="7BDBA007" w14:textId="77777777" w:rsidR="006F5AD1" w:rsidRPr="00AF4288" w:rsidRDefault="006F5AD1" w:rsidP="00FA1C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January </w:t>
            </w:r>
            <w:r w:rsidRPr="00AF4288">
              <w:rPr>
                <w:rFonts w:cstheme="minorHAnsi"/>
              </w:rPr>
              <w:t>2019</w:t>
            </w:r>
          </w:p>
        </w:tc>
      </w:tr>
      <w:tr w:rsidR="006F5AD1" w:rsidRPr="00AF4288" w14:paraId="2AD8EC3A" w14:textId="77777777" w:rsidTr="00FA1C87">
        <w:tc>
          <w:tcPr>
            <w:tcW w:w="1151" w:type="dxa"/>
          </w:tcPr>
          <w:p w14:paraId="4A712390" w14:textId="77777777" w:rsidR="006F5AD1" w:rsidRPr="00AF4288" w:rsidRDefault="006F5AD1" w:rsidP="00FA1C87">
            <w:pPr>
              <w:rPr>
                <w:rFonts w:cstheme="minorHAnsi"/>
              </w:rPr>
            </w:pPr>
            <w:r w:rsidRPr="00AF4288">
              <w:rPr>
                <w:rFonts w:cstheme="minorHAnsi"/>
              </w:rPr>
              <w:t>Reviewed:</w:t>
            </w:r>
          </w:p>
        </w:tc>
        <w:tc>
          <w:tcPr>
            <w:tcW w:w="1401" w:type="dxa"/>
          </w:tcPr>
          <w:p w14:paraId="716E2D9E" w14:textId="77777777" w:rsidR="006F5AD1" w:rsidRPr="00AF4288" w:rsidRDefault="006F5AD1" w:rsidP="00FA1C87">
            <w:pPr>
              <w:rPr>
                <w:rFonts w:cstheme="minorHAnsi"/>
              </w:rPr>
            </w:pPr>
          </w:p>
        </w:tc>
      </w:tr>
    </w:tbl>
    <w:p w14:paraId="56A2815E" w14:textId="77777777" w:rsidR="006F5AD1" w:rsidRDefault="006F5AD1" w:rsidP="004E5A7F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91810194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11527FB" w14:textId="77777777" w:rsidR="006F5AD1" w:rsidRDefault="006F5AD1" w:rsidP="006F5AD1">
          <w:pPr>
            <w:pStyle w:val="TOCHeading"/>
            <w:rPr>
              <w:rFonts w:asciiTheme="minorHAnsi" w:hAnsiTheme="minorHAnsi" w:cstheme="minorHAnsi"/>
              <w:caps/>
              <w:color w:val="auto"/>
            </w:rPr>
          </w:pPr>
          <w:r w:rsidRPr="00E24487">
            <w:rPr>
              <w:rFonts w:asciiTheme="minorHAnsi" w:hAnsiTheme="minorHAnsi" w:cstheme="minorHAnsi"/>
              <w:caps/>
              <w:color w:val="auto"/>
            </w:rPr>
            <w:t>Table of Contents</w:t>
          </w:r>
        </w:p>
        <w:p w14:paraId="03ABAE9D" w14:textId="77777777" w:rsidR="006F5AD1" w:rsidRPr="00E24487" w:rsidRDefault="006F5AD1" w:rsidP="006F5AD1">
          <w:pPr>
            <w:rPr>
              <w:lang w:val="en-US"/>
            </w:rPr>
          </w:pPr>
        </w:p>
        <w:p w14:paraId="5AF3DC53" w14:textId="4CFFEFF0" w:rsidR="00EC0D9B" w:rsidRDefault="006F5AD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3454362" w:history="1">
            <w:r w:rsidR="00EC0D9B" w:rsidRPr="003A4996">
              <w:rPr>
                <w:rStyle w:val="Hyperlink"/>
                <w:b/>
                <w:noProof/>
              </w:rPr>
              <w:t>Introduction:</w:t>
            </w:r>
            <w:r w:rsidR="00EC0D9B">
              <w:rPr>
                <w:noProof/>
                <w:webHidden/>
              </w:rPr>
              <w:tab/>
            </w:r>
            <w:r w:rsidR="00EC0D9B">
              <w:rPr>
                <w:noProof/>
                <w:webHidden/>
              </w:rPr>
              <w:fldChar w:fldCharType="begin"/>
            </w:r>
            <w:r w:rsidR="00EC0D9B">
              <w:rPr>
                <w:noProof/>
                <w:webHidden/>
              </w:rPr>
              <w:instrText xml:space="preserve"> PAGEREF _Toc3454362 \h </w:instrText>
            </w:r>
            <w:r w:rsidR="00EC0D9B">
              <w:rPr>
                <w:noProof/>
                <w:webHidden/>
              </w:rPr>
            </w:r>
            <w:r w:rsidR="00EC0D9B">
              <w:rPr>
                <w:noProof/>
                <w:webHidden/>
              </w:rPr>
              <w:fldChar w:fldCharType="separate"/>
            </w:r>
            <w:r w:rsidR="00EC0D9B">
              <w:rPr>
                <w:noProof/>
                <w:webHidden/>
              </w:rPr>
              <w:t>3</w:t>
            </w:r>
            <w:r w:rsidR="00EC0D9B">
              <w:rPr>
                <w:noProof/>
                <w:webHidden/>
              </w:rPr>
              <w:fldChar w:fldCharType="end"/>
            </w:r>
          </w:hyperlink>
        </w:p>
        <w:p w14:paraId="5858529D" w14:textId="49C9EFD7" w:rsidR="00EC0D9B" w:rsidRDefault="002A60C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3454363" w:history="1">
            <w:r w:rsidR="00EC0D9B" w:rsidRPr="003A4996">
              <w:rPr>
                <w:rStyle w:val="Hyperlink"/>
                <w:b/>
                <w:noProof/>
              </w:rPr>
              <w:t>A. Participate in the opportunities for collaboration</w:t>
            </w:r>
            <w:r w:rsidR="00EC0D9B">
              <w:rPr>
                <w:noProof/>
                <w:webHidden/>
              </w:rPr>
              <w:tab/>
            </w:r>
            <w:r w:rsidR="00EC0D9B">
              <w:rPr>
                <w:noProof/>
                <w:webHidden/>
              </w:rPr>
              <w:fldChar w:fldCharType="begin"/>
            </w:r>
            <w:r w:rsidR="00EC0D9B">
              <w:rPr>
                <w:noProof/>
                <w:webHidden/>
              </w:rPr>
              <w:instrText xml:space="preserve"> PAGEREF _Toc3454363 \h </w:instrText>
            </w:r>
            <w:r w:rsidR="00EC0D9B">
              <w:rPr>
                <w:noProof/>
                <w:webHidden/>
              </w:rPr>
            </w:r>
            <w:r w:rsidR="00EC0D9B">
              <w:rPr>
                <w:noProof/>
                <w:webHidden/>
              </w:rPr>
              <w:fldChar w:fldCharType="separate"/>
            </w:r>
            <w:r w:rsidR="00EC0D9B">
              <w:rPr>
                <w:noProof/>
                <w:webHidden/>
              </w:rPr>
              <w:t>3</w:t>
            </w:r>
            <w:r w:rsidR="00EC0D9B">
              <w:rPr>
                <w:noProof/>
                <w:webHidden/>
              </w:rPr>
              <w:fldChar w:fldCharType="end"/>
            </w:r>
          </w:hyperlink>
        </w:p>
        <w:p w14:paraId="4F66318B" w14:textId="1634FB82" w:rsidR="00EC0D9B" w:rsidRDefault="002A60C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3454364" w:history="1">
            <w:r w:rsidR="00EC0D9B" w:rsidRPr="003A4996">
              <w:rPr>
                <w:rStyle w:val="Hyperlink"/>
                <w:b/>
                <w:noProof/>
              </w:rPr>
              <w:t>B. Expectations of AWI staff in consultation for collaboration</w:t>
            </w:r>
            <w:r w:rsidR="00EC0D9B">
              <w:rPr>
                <w:noProof/>
                <w:webHidden/>
              </w:rPr>
              <w:tab/>
            </w:r>
            <w:r w:rsidR="00EC0D9B">
              <w:rPr>
                <w:noProof/>
                <w:webHidden/>
              </w:rPr>
              <w:fldChar w:fldCharType="begin"/>
            </w:r>
            <w:r w:rsidR="00EC0D9B">
              <w:rPr>
                <w:noProof/>
                <w:webHidden/>
              </w:rPr>
              <w:instrText xml:space="preserve"> PAGEREF _Toc3454364 \h </w:instrText>
            </w:r>
            <w:r w:rsidR="00EC0D9B">
              <w:rPr>
                <w:noProof/>
                <w:webHidden/>
              </w:rPr>
            </w:r>
            <w:r w:rsidR="00EC0D9B">
              <w:rPr>
                <w:noProof/>
                <w:webHidden/>
              </w:rPr>
              <w:fldChar w:fldCharType="separate"/>
            </w:r>
            <w:r w:rsidR="00EC0D9B">
              <w:rPr>
                <w:noProof/>
                <w:webHidden/>
              </w:rPr>
              <w:t>4</w:t>
            </w:r>
            <w:r w:rsidR="00EC0D9B">
              <w:rPr>
                <w:noProof/>
                <w:webHidden/>
              </w:rPr>
              <w:fldChar w:fldCharType="end"/>
            </w:r>
          </w:hyperlink>
        </w:p>
        <w:p w14:paraId="1E87798A" w14:textId="19BFFE92" w:rsidR="00EC0D9B" w:rsidRDefault="002A60C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3454365" w:history="1">
            <w:r w:rsidR="00EC0D9B" w:rsidRPr="003A4996">
              <w:rPr>
                <w:rStyle w:val="Hyperlink"/>
                <w:b/>
                <w:noProof/>
              </w:rPr>
              <w:t>C. Project management for collaboration</w:t>
            </w:r>
            <w:r w:rsidR="00EC0D9B">
              <w:rPr>
                <w:noProof/>
                <w:webHidden/>
              </w:rPr>
              <w:tab/>
            </w:r>
            <w:r w:rsidR="00EC0D9B">
              <w:rPr>
                <w:noProof/>
                <w:webHidden/>
              </w:rPr>
              <w:fldChar w:fldCharType="begin"/>
            </w:r>
            <w:r w:rsidR="00EC0D9B">
              <w:rPr>
                <w:noProof/>
                <w:webHidden/>
              </w:rPr>
              <w:instrText xml:space="preserve"> PAGEREF _Toc3454365 \h </w:instrText>
            </w:r>
            <w:r w:rsidR="00EC0D9B">
              <w:rPr>
                <w:noProof/>
                <w:webHidden/>
              </w:rPr>
            </w:r>
            <w:r w:rsidR="00EC0D9B">
              <w:rPr>
                <w:noProof/>
                <w:webHidden/>
              </w:rPr>
              <w:fldChar w:fldCharType="separate"/>
            </w:r>
            <w:r w:rsidR="00EC0D9B">
              <w:rPr>
                <w:noProof/>
                <w:webHidden/>
              </w:rPr>
              <w:t>4</w:t>
            </w:r>
            <w:r w:rsidR="00EC0D9B">
              <w:rPr>
                <w:noProof/>
                <w:webHidden/>
              </w:rPr>
              <w:fldChar w:fldCharType="end"/>
            </w:r>
          </w:hyperlink>
        </w:p>
        <w:p w14:paraId="4E4E6704" w14:textId="1A29B100" w:rsidR="00EC0D9B" w:rsidRDefault="002A60CF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3454366" w:history="1">
            <w:r w:rsidR="00EC0D9B" w:rsidRPr="003A4996">
              <w:rPr>
                <w:rStyle w:val="Hyperlink"/>
                <w:b/>
                <w:noProof/>
              </w:rPr>
              <w:t>D. Guideline review</w:t>
            </w:r>
            <w:r w:rsidR="00EC0D9B">
              <w:rPr>
                <w:noProof/>
                <w:webHidden/>
              </w:rPr>
              <w:tab/>
            </w:r>
            <w:r w:rsidR="00EC0D9B">
              <w:rPr>
                <w:noProof/>
                <w:webHidden/>
              </w:rPr>
              <w:fldChar w:fldCharType="begin"/>
            </w:r>
            <w:r w:rsidR="00EC0D9B">
              <w:rPr>
                <w:noProof/>
                <w:webHidden/>
              </w:rPr>
              <w:instrText xml:space="preserve"> PAGEREF _Toc3454366 \h </w:instrText>
            </w:r>
            <w:r w:rsidR="00EC0D9B">
              <w:rPr>
                <w:noProof/>
                <w:webHidden/>
              </w:rPr>
            </w:r>
            <w:r w:rsidR="00EC0D9B">
              <w:rPr>
                <w:noProof/>
                <w:webHidden/>
              </w:rPr>
              <w:fldChar w:fldCharType="separate"/>
            </w:r>
            <w:r w:rsidR="00EC0D9B">
              <w:rPr>
                <w:noProof/>
                <w:webHidden/>
              </w:rPr>
              <w:t>5</w:t>
            </w:r>
            <w:r w:rsidR="00EC0D9B">
              <w:rPr>
                <w:noProof/>
                <w:webHidden/>
              </w:rPr>
              <w:fldChar w:fldCharType="end"/>
            </w:r>
          </w:hyperlink>
        </w:p>
        <w:p w14:paraId="394324FC" w14:textId="69A78706" w:rsidR="006F5AD1" w:rsidRDefault="006F5AD1" w:rsidP="006F5AD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381729" w14:textId="77777777" w:rsidR="006F5AD1" w:rsidRDefault="006F5AD1" w:rsidP="004E5A7F">
      <w:pPr>
        <w:rPr>
          <w:b/>
        </w:rPr>
      </w:pPr>
    </w:p>
    <w:p w14:paraId="41139223" w14:textId="77777777" w:rsidR="006F5AD1" w:rsidRDefault="006F5AD1" w:rsidP="004E5A7F">
      <w:pPr>
        <w:rPr>
          <w:b/>
        </w:rPr>
      </w:pPr>
    </w:p>
    <w:p w14:paraId="18B75B68" w14:textId="77777777" w:rsidR="006F5AD1" w:rsidRDefault="006F5AD1" w:rsidP="004E5A7F">
      <w:pPr>
        <w:rPr>
          <w:b/>
        </w:rPr>
      </w:pPr>
    </w:p>
    <w:p w14:paraId="56B11B99" w14:textId="77777777" w:rsidR="006F5AD1" w:rsidRDefault="006F5AD1" w:rsidP="004E5A7F">
      <w:pPr>
        <w:rPr>
          <w:b/>
        </w:rPr>
      </w:pPr>
    </w:p>
    <w:p w14:paraId="4007C35C" w14:textId="77777777" w:rsidR="006F5AD1" w:rsidRDefault="006F5AD1" w:rsidP="004E5A7F">
      <w:pPr>
        <w:rPr>
          <w:b/>
        </w:rPr>
      </w:pPr>
    </w:p>
    <w:p w14:paraId="66A346E6" w14:textId="77777777" w:rsidR="006F5AD1" w:rsidRDefault="006F5AD1" w:rsidP="004E5A7F">
      <w:pPr>
        <w:rPr>
          <w:b/>
        </w:rPr>
      </w:pPr>
    </w:p>
    <w:p w14:paraId="5CA8320F" w14:textId="77777777" w:rsidR="006F5AD1" w:rsidRDefault="006F5AD1" w:rsidP="004E5A7F">
      <w:pPr>
        <w:rPr>
          <w:b/>
        </w:rPr>
      </w:pPr>
    </w:p>
    <w:p w14:paraId="6B9EB8E2" w14:textId="77777777" w:rsidR="006F5AD1" w:rsidRDefault="006F5AD1" w:rsidP="004E5A7F">
      <w:pPr>
        <w:rPr>
          <w:b/>
        </w:rPr>
      </w:pPr>
    </w:p>
    <w:p w14:paraId="64C908AC" w14:textId="77777777" w:rsidR="006F5AD1" w:rsidRDefault="006F5AD1" w:rsidP="004E5A7F">
      <w:pPr>
        <w:rPr>
          <w:b/>
        </w:rPr>
      </w:pPr>
    </w:p>
    <w:p w14:paraId="39B1BD8A" w14:textId="77777777" w:rsidR="006F5AD1" w:rsidRDefault="006F5AD1" w:rsidP="004E5A7F">
      <w:pPr>
        <w:rPr>
          <w:b/>
        </w:rPr>
      </w:pPr>
    </w:p>
    <w:p w14:paraId="7741807B" w14:textId="77777777" w:rsidR="006F5AD1" w:rsidRDefault="006F5AD1" w:rsidP="004E5A7F">
      <w:pPr>
        <w:rPr>
          <w:b/>
        </w:rPr>
      </w:pPr>
    </w:p>
    <w:p w14:paraId="1D5CD1E8" w14:textId="77777777" w:rsidR="006F5AD1" w:rsidRDefault="006F5AD1" w:rsidP="004E5A7F">
      <w:pPr>
        <w:rPr>
          <w:b/>
        </w:rPr>
      </w:pPr>
    </w:p>
    <w:p w14:paraId="09A6DF02" w14:textId="77777777" w:rsidR="006F5AD1" w:rsidRDefault="006F5AD1" w:rsidP="004E5A7F">
      <w:pPr>
        <w:rPr>
          <w:b/>
        </w:rPr>
      </w:pPr>
    </w:p>
    <w:p w14:paraId="02A128A6" w14:textId="77777777" w:rsidR="006F5AD1" w:rsidRDefault="006F5AD1" w:rsidP="004E5A7F">
      <w:pPr>
        <w:rPr>
          <w:b/>
        </w:rPr>
      </w:pPr>
    </w:p>
    <w:p w14:paraId="6BD0DA91" w14:textId="77777777" w:rsidR="006F5AD1" w:rsidRDefault="006F5AD1" w:rsidP="004E5A7F">
      <w:pPr>
        <w:rPr>
          <w:b/>
        </w:rPr>
      </w:pPr>
    </w:p>
    <w:p w14:paraId="17B4FAC5" w14:textId="77777777" w:rsidR="006F5AD1" w:rsidRDefault="006F5AD1" w:rsidP="004E5A7F">
      <w:pPr>
        <w:rPr>
          <w:b/>
        </w:rPr>
      </w:pPr>
    </w:p>
    <w:p w14:paraId="7FFAFA58" w14:textId="77777777" w:rsidR="006F5AD1" w:rsidRDefault="006F5AD1" w:rsidP="004E5A7F">
      <w:pPr>
        <w:rPr>
          <w:b/>
        </w:rPr>
      </w:pPr>
    </w:p>
    <w:p w14:paraId="2040A739" w14:textId="77777777" w:rsidR="006F5AD1" w:rsidRDefault="006F5AD1" w:rsidP="004E5A7F">
      <w:pPr>
        <w:rPr>
          <w:b/>
        </w:rPr>
      </w:pPr>
    </w:p>
    <w:p w14:paraId="43187EB3" w14:textId="77777777" w:rsidR="006F5AD1" w:rsidRDefault="006F5AD1" w:rsidP="004E5A7F">
      <w:pPr>
        <w:rPr>
          <w:b/>
        </w:rPr>
      </w:pPr>
    </w:p>
    <w:p w14:paraId="20AE4857" w14:textId="77777777" w:rsidR="006F5AD1" w:rsidRDefault="006F5AD1" w:rsidP="004E5A7F">
      <w:pPr>
        <w:rPr>
          <w:b/>
        </w:rPr>
      </w:pPr>
    </w:p>
    <w:p w14:paraId="55307D5D" w14:textId="77777777" w:rsidR="006F5AD1" w:rsidRDefault="006F5AD1" w:rsidP="004E5A7F">
      <w:pPr>
        <w:rPr>
          <w:b/>
        </w:rPr>
      </w:pPr>
    </w:p>
    <w:p w14:paraId="61EE2054" w14:textId="77777777" w:rsidR="006F5AD1" w:rsidRDefault="006F5AD1" w:rsidP="004E5A7F">
      <w:pPr>
        <w:rPr>
          <w:b/>
        </w:rPr>
      </w:pPr>
    </w:p>
    <w:p w14:paraId="6EA4B499" w14:textId="1043B353" w:rsidR="004E5A7F" w:rsidRPr="006F5AD1" w:rsidRDefault="004E5A7F" w:rsidP="006F5AD1">
      <w:pPr>
        <w:pStyle w:val="Heading1"/>
        <w:spacing w:line="360" w:lineRule="auto"/>
        <w:rPr>
          <w:b/>
          <w:color w:val="auto"/>
        </w:rPr>
      </w:pPr>
      <w:bookmarkStart w:id="0" w:name="_Toc3454362"/>
      <w:r w:rsidRPr="006F5AD1">
        <w:rPr>
          <w:b/>
          <w:color w:val="auto"/>
        </w:rPr>
        <w:t>Introduction:</w:t>
      </w:r>
      <w:bookmarkEnd w:id="0"/>
    </w:p>
    <w:p w14:paraId="73DE6C8F" w14:textId="75D57035" w:rsidR="001729C2" w:rsidRDefault="004E5A7F" w:rsidP="001729C2">
      <w:r>
        <w:t>Woolgrower levy payer and Australian Government investors in Australian Wool Innovation expect collaboration with other Research and Development Corporations</w:t>
      </w:r>
      <w:r w:rsidR="00752464">
        <w:t xml:space="preserve"> (RDC)</w:t>
      </w:r>
      <w:r w:rsidR="001729C2">
        <w:t>, public and privately funded research institutes and the commercial sector</w:t>
      </w:r>
      <w:r>
        <w:t xml:space="preserve">. </w:t>
      </w:r>
      <w:r w:rsidR="001729C2">
        <w:t>The majority of AWI’s R&amp;D budget is dedicated to projects with</w:t>
      </w:r>
      <w:r w:rsidR="006761FE">
        <w:t xml:space="preserve"> cash or</w:t>
      </w:r>
      <w:r w:rsidR="001729C2">
        <w:t xml:space="preserve"> </w:t>
      </w:r>
      <w:r w:rsidR="006F5AD1">
        <w:t>in-kind</w:t>
      </w:r>
      <w:r w:rsidR="001729C2">
        <w:t xml:space="preserve"> contribution from </w:t>
      </w:r>
      <w:r w:rsidR="00193408">
        <w:t xml:space="preserve">these </w:t>
      </w:r>
      <w:r w:rsidR="001729C2">
        <w:t>other parties.</w:t>
      </w:r>
      <w:r w:rsidR="00625EFD">
        <w:t xml:space="preserve"> </w:t>
      </w:r>
    </w:p>
    <w:p w14:paraId="3AA84D64" w14:textId="49CCC9E8" w:rsidR="006761FE" w:rsidRDefault="006761FE" w:rsidP="006761FE">
      <w:r>
        <w:t>This document guides the process for initiating collaborative projects and monitoring the collaboration contribution with the outcome of enhancing AWI’s collaboration opportunities.</w:t>
      </w:r>
    </w:p>
    <w:p w14:paraId="1119D814" w14:textId="294C98C7" w:rsidR="004E5A7F" w:rsidRDefault="004E5A7F" w:rsidP="004E5A7F">
      <w:r>
        <w:t>Partnerships between AWI and other</w:t>
      </w:r>
      <w:r w:rsidR="001729C2">
        <w:t>s</w:t>
      </w:r>
      <w:r>
        <w:t xml:space="preserve"> ensure sharing of knowledge, increase the funding pool to speed up research</w:t>
      </w:r>
      <w:r w:rsidR="00FE2928">
        <w:t xml:space="preserve"> and</w:t>
      </w:r>
      <w:r>
        <w:t xml:space="preserve"> progress shared problems which otherwise would not be tackled. </w:t>
      </w:r>
    </w:p>
    <w:p w14:paraId="167F2870" w14:textId="210435FC" w:rsidR="004E5A7F" w:rsidRDefault="004E5A7F" w:rsidP="00FE2928">
      <w:pPr>
        <w:spacing w:after="0" w:line="240" w:lineRule="auto"/>
      </w:pPr>
      <w:r>
        <w:t>This document covers four areas:</w:t>
      </w:r>
    </w:p>
    <w:p w14:paraId="044EB125" w14:textId="4B055A83" w:rsidR="004E5A7F" w:rsidRDefault="004E5A7F" w:rsidP="00FE2928">
      <w:pPr>
        <w:spacing w:after="0" w:line="240" w:lineRule="auto"/>
        <w:ind w:left="720"/>
      </w:pPr>
      <w:r>
        <w:t>A: Participate in the opportunities for collaboration</w:t>
      </w:r>
    </w:p>
    <w:p w14:paraId="276E408A" w14:textId="2A96ACE8" w:rsidR="004E5A7F" w:rsidRDefault="004E5A7F" w:rsidP="00FE2928">
      <w:pPr>
        <w:spacing w:after="0" w:line="240" w:lineRule="auto"/>
        <w:ind w:left="720"/>
      </w:pPr>
      <w:r>
        <w:t>B:</w:t>
      </w:r>
      <w:r w:rsidRPr="004E5A7F">
        <w:t xml:space="preserve"> Expectations of AWI staff in consultation for collaboration</w:t>
      </w:r>
    </w:p>
    <w:p w14:paraId="7173FD1F" w14:textId="50BEDA05" w:rsidR="004E5A7F" w:rsidRDefault="004E5A7F" w:rsidP="00FE2928">
      <w:pPr>
        <w:spacing w:after="0" w:line="240" w:lineRule="auto"/>
        <w:ind w:left="720"/>
      </w:pPr>
      <w:r>
        <w:t>C:</w:t>
      </w:r>
      <w:r w:rsidRPr="004E5A7F">
        <w:t xml:space="preserve"> Project management for collaboration</w:t>
      </w:r>
    </w:p>
    <w:p w14:paraId="44BEC7D6" w14:textId="6EBCB99D" w:rsidR="004E5A7F" w:rsidRDefault="004E5A7F" w:rsidP="00FE2928">
      <w:pPr>
        <w:spacing w:after="0" w:line="240" w:lineRule="auto"/>
        <w:ind w:left="720"/>
      </w:pPr>
      <w:r>
        <w:t>D: Guideline review</w:t>
      </w:r>
    </w:p>
    <w:p w14:paraId="3D9BF28F" w14:textId="47CA3B3E" w:rsidR="00FE2928" w:rsidRDefault="00FE2928" w:rsidP="004E5A7F">
      <w:pPr>
        <w:rPr>
          <w:b/>
        </w:rPr>
      </w:pPr>
    </w:p>
    <w:p w14:paraId="344F9683" w14:textId="77777777" w:rsidR="006F5AD1" w:rsidRDefault="006F5AD1" w:rsidP="004E5A7F">
      <w:pPr>
        <w:rPr>
          <w:b/>
        </w:rPr>
      </w:pPr>
    </w:p>
    <w:p w14:paraId="72256BA4" w14:textId="216F1596" w:rsidR="004E5A7F" w:rsidRPr="006F5AD1" w:rsidRDefault="004E5A7F" w:rsidP="006F5AD1">
      <w:pPr>
        <w:pStyle w:val="Heading1"/>
        <w:spacing w:line="360" w:lineRule="auto"/>
        <w:rPr>
          <w:b/>
          <w:color w:val="auto"/>
        </w:rPr>
      </w:pPr>
      <w:bookmarkStart w:id="1" w:name="_Toc3454363"/>
      <w:r w:rsidRPr="006F5AD1">
        <w:rPr>
          <w:b/>
          <w:color w:val="auto"/>
        </w:rPr>
        <w:t>A. Participate in the opportunities for collaboration</w:t>
      </w:r>
      <w:bookmarkEnd w:id="1"/>
    </w:p>
    <w:p w14:paraId="209F6B5D" w14:textId="2D4842A0" w:rsidR="004E5A7F" w:rsidRDefault="004E5A7F" w:rsidP="004E5A7F">
      <w:r>
        <w:t xml:space="preserve">AWI staff keep up to date with existing and emerging </w:t>
      </w:r>
      <w:r w:rsidR="006761FE">
        <w:t>through the RDC community, through strategic relationship between research providers and through individuals’ professional networks.</w:t>
      </w:r>
    </w:p>
    <w:p w14:paraId="3F4BB56F" w14:textId="4830B696" w:rsidR="004E5A7F" w:rsidRDefault="004E5A7F" w:rsidP="00193408">
      <w:pPr>
        <w:pStyle w:val="ListParagraph"/>
        <w:numPr>
          <w:ilvl w:val="0"/>
          <w:numId w:val="1"/>
        </w:numPr>
      </w:pPr>
      <w:r>
        <w:t>The C</w:t>
      </w:r>
      <w:r w:rsidR="003C32FF">
        <w:t xml:space="preserve">ouncil of </w:t>
      </w:r>
      <w:r>
        <w:t>R</w:t>
      </w:r>
      <w:r w:rsidR="003C32FF">
        <w:t xml:space="preserve">ural </w:t>
      </w:r>
      <w:r>
        <w:t xml:space="preserve">RDC invites AWI to discuss issues for the rural RDE sector </w:t>
      </w:r>
    </w:p>
    <w:p w14:paraId="567C3273" w14:textId="01C6D749" w:rsidR="004E5A7F" w:rsidRDefault="004E5A7F" w:rsidP="004E5A7F">
      <w:pPr>
        <w:pStyle w:val="ListParagraph"/>
        <w:numPr>
          <w:ilvl w:val="0"/>
          <w:numId w:val="1"/>
        </w:numPr>
      </w:pPr>
      <w:r>
        <w:t xml:space="preserve">The government supported cross RDC sector strategies </w:t>
      </w:r>
      <w:r w:rsidR="00193408">
        <w:t xml:space="preserve">all </w:t>
      </w:r>
      <w:r>
        <w:t>hold forums with AWI being a signatory to Animal Welfare, Animal Biosecurity</w:t>
      </w:r>
      <w:r w:rsidR="001729C2">
        <w:t>,</w:t>
      </w:r>
      <w:r>
        <w:t xml:space="preserve"> Climate Change</w:t>
      </w:r>
      <w:r w:rsidR="001729C2">
        <w:t xml:space="preserve"> and the Rural Safety and Health Alliance</w:t>
      </w:r>
      <w:r w:rsidR="00FE2928">
        <w:t xml:space="preserve"> strategies</w:t>
      </w:r>
    </w:p>
    <w:p w14:paraId="75A8386C" w14:textId="69347799" w:rsidR="004E5A7F" w:rsidRDefault="004E5A7F" w:rsidP="004E5A7F">
      <w:pPr>
        <w:pStyle w:val="ListParagraph"/>
        <w:numPr>
          <w:ilvl w:val="0"/>
          <w:numId w:val="1"/>
        </w:numPr>
      </w:pPr>
      <w:r>
        <w:t>AWI attends hoc forums hosted by an individual RDC such as the Emerging National Rural Issues Forum hosted by Agri-Futures Australia</w:t>
      </w:r>
    </w:p>
    <w:p w14:paraId="51896E7C" w14:textId="6029766E" w:rsidR="004E5A7F" w:rsidRDefault="004E5A7F" w:rsidP="004E5A7F">
      <w:pPr>
        <w:pStyle w:val="ListParagraph"/>
        <w:numPr>
          <w:ilvl w:val="0"/>
          <w:numId w:val="1"/>
        </w:numPr>
      </w:pPr>
      <w:r>
        <w:t>AWI and MLA hold formal annual “Eureka” meetings during a synchronised call for proposals.</w:t>
      </w:r>
    </w:p>
    <w:p w14:paraId="20607094" w14:textId="2D286910" w:rsidR="004E5A7F" w:rsidRDefault="004E5A7F" w:rsidP="004E5A7F">
      <w:pPr>
        <w:pStyle w:val="ListParagraph"/>
        <w:numPr>
          <w:ilvl w:val="0"/>
          <w:numId w:val="1"/>
        </w:numPr>
      </w:pPr>
      <w:r>
        <w:t xml:space="preserve">The National Wool RDE Strategy Steering Committee membership </w:t>
      </w:r>
      <w:hyperlink r:id="rId8" w:history="1">
        <w:r w:rsidRPr="00647265">
          <w:rPr>
            <w:rStyle w:val="Hyperlink"/>
          </w:rPr>
          <w:t>https://www.wool.com/education-and-extension/national-wool-research-development-and-extension-strategy/strategy/</w:t>
        </w:r>
      </w:hyperlink>
      <w:r>
        <w:t xml:space="preserve"> includes a</w:t>
      </w:r>
      <w:r w:rsidR="003C32FF">
        <w:t xml:space="preserve"> broad membership of research providers</w:t>
      </w:r>
      <w:r w:rsidR="00FE2928">
        <w:t xml:space="preserve"> and</w:t>
      </w:r>
      <w:r w:rsidR="003C32FF">
        <w:t xml:space="preserve"> co investors </w:t>
      </w:r>
    </w:p>
    <w:p w14:paraId="5344E10C" w14:textId="02536076" w:rsidR="004E5A7F" w:rsidRDefault="004E5A7F" w:rsidP="004E5A7F">
      <w:pPr>
        <w:pStyle w:val="ListParagraph"/>
        <w:numPr>
          <w:ilvl w:val="0"/>
          <w:numId w:val="1"/>
        </w:numPr>
      </w:pPr>
      <w:r>
        <w:t xml:space="preserve">AWI staff maintain working relationships with </w:t>
      </w:r>
      <w:r w:rsidR="003C32FF">
        <w:t xml:space="preserve">a network of research relevant staff in the public and private sector which forms the basis of the </w:t>
      </w:r>
      <w:r w:rsidR="00625EFD">
        <w:t>subscription</w:t>
      </w:r>
      <w:r w:rsidR="003C32FF">
        <w:t xml:space="preserve"> list for the call for proposals </w:t>
      </w:r>
    </w:p>
    <w:p w14:paraId="63AA30CE" w14:textId="73B894E7" w:rsidR="001729C2" w:rsidRDefault="001729C2" w:rsidP="004E5A7F">
      <w:pPr>
        <w:pStyle w:val="ListParagraph"/>
        <w:numPr>
          <w:ilvl w:val="0"/>
          <w:numId w:val="1"/>
        </w:numPr>
      </w:pPr>
      <w:r>
        <w:t xml:space="preserve">AWI </w:t>
      </w:r>
      <w:r w:rsidR="00F97977">
        <w:t xml:space="preserve">initiates and or </w:t>
      </w:r>
      <w:r>
        <w:t xml:space="preserve">hosts R&amp;D updates </w:t>
      </w:r>
      <w:r w:rsidR="00F97977">
        <w:t xml:space="preserve">or forums </w:t>
      </w:r>
      <w:r>
        <w:t xml:space="preserve">for research providers and the private sector </w:t>
      </w:r>
      <w:proofErr w:type="spellStart"/>
      <w:r>
        <w:t>eg</w:t>
      </w:r>
      <w:proofErr w:type="spellEnd"/>
      <w:r>
        <w:t xml:space="preserve"> the Flystrike R&amp;D Update</w:t>
      </w:r>
      <w:r w:rsidR="00F97977">
        <w:t xml:space="preserve"> and the</w:t>
      </w:r>
      <w:r>
        <w:t xml:space="preserve"> </w:t>
      </w:r>
      <w:r w:rsidR="00F97977">
        <w:t>AWI Artificial Breeding Workshop.</w:t>
      </w:r>
    </w:p>
    <w:p w14:paraId="32EA0E94" w14:textId="70B3A9F9" w:rsidR="006F5AD1" w:rsidRDefault="00F97977" w:rsidP="006F5AD1">
      <w:pPr>
        <w:pStyle w:val="ListParagraph"/>
        <w:numPr>
          <w:ilvl w:val="0"/>
          <w:numId w:val="1"/>
        </w:numPr>
      </w:pPr>
      <w:r>
        <w:t xml:space="preserve">AWI initiates or responds to invitations </w:t>
      </w:r>
      <w:r w:rsidR="00FE2928">
        <w:t xml:space="preserve">on strategic needs </w:t>
      </w:r>
      <w:r w:rsidR="006F5AD1">
        <w:t>e.g.</w:t>
      </w:r>
      <w:r>
        <w:t xml:space="preserve"> WA RD&amp;E Prospectus development, Tasmanian Institute of Agriculture and Davis Research Centre briefings and National Wild Dog Action Plan activities.</w:t>
      </w:r>
    </w:p>
    <w:p w14:paraId="378CB0F1" w14:textId="77777777" w:rsidR="006F5AD1" w:rsidRPr="006F5AD1" w:rsidRDefault="006F5AD1" w:rsidP="006F5AD1">
      <w:pPr>
        <w:pStyle w:val="ListParagraph"/>
      </w:pPr>
    </w:p>
    <w:p w14:paraId="147A6BAB" w14:textId="5C15299B" w:rsidR="004E5A7F" w:rsidRPr="006F5AD1" w:rsidRDefault="004E5A7F" w:rsidP="006F5AD1">
      <w:pPr>
        <w:pStyle w:val="Heading1"/>
        <w:spacing w:line="360" w:lineRule="auto"/>
        <w:rPr>
          <w:b/>
          <w:color w:val="auto"/>
        </w:rPr>
      </w:pPr>
      <w:bookmarkStart w:id="2" w:name="_Toc3454364"/>
      <w:r w:rsidRPr="006F5AD1">
        <w:rPr>
          <w:b/>
          <w:color w:val="auto"/>
        </w:rPr>
        <w:t>B. Expectations of AWI staff in consultation for collaboration</w:t>
      </w:r>
      <w:bookmarkEnd w:id="2"/>
    </w:p>
    <w:p w14:paraId="37813E96" w14:textId="3D4DF1DE" w:rsidR="004E5A7F" w:rsidRDefault="004E5A7F" w:rsidP="004E5A7F">
      <w:pPr>
        <w:pStyle w:val="ListParagraph"/>
        <w:numPr>
          <w:ilvl w:val="0"/>
          <w:numId w:val="5"/>
        </w:numPr>
      </w:pPr>
      <w:r>
        <w:t xml:space="preserve">Collaboration is the default mode of investment for AWI in fulfilling its Strategic Plan. </w:t>
      </w:r>
    </w:p>
    <w:p w14:paraId="744AD48F" w14:textId="3C4C3A77" w:rsidR="004E5A7F" w:rsidRDefault="004E5A7F" w:rsidP="004E5A7F">
      <w:pPr>
        <w:pStyle w:val="ListParagraph"/>
        <w:numPr>
          <w:ilvl w:val="0"/>
          <w:numId w:val="5"/>
        </w:numPr>
      </w:pPr>
      <w:r>
        <w:t xml:space="preserve">GM Research to ensure </w:t>
      </w:r>
      <w:r w:rsidR="006761FE">
        <w:t xml:space="preserve">AWI </w:t>
      </w:r>
      <w:r w:rsidR="00FE2928">
        <w:t xml:space="preserve">research staff engagement with the </w:t>
      </w:r>
      <w:r>
        <w:t>CRRDC</w:t>
      </w:r>
      <w:r w:rsidR="003C32FF">
        <w:t xml:space="preserve"> </w:t>
      </w:r>
    </w:p>
    <w:p w14:paraId="4B07E11B" w14:textId="4465A0B4" w:rsidR="004E5A7F" w:rsidRDefault="004E5A7F" w:rsidP="004E5A7F">
      <w:pPr>
        <w:pStyle w:val="ListParagraph"/>
        <w:numPr>
          <w:ilvl w:val="0"/>
          <w:numId w:val="5"/>
        </w:numPr>
      </w:pPr>
      <w:r>
        <w:t xml:space="preserve">Program Managers to ensure </w:t>
      </w:r>
      <w:r w:rsidR="006761FE">
        <w:t xml:space="preserve">AWI </w:t>
      </w:r>
      <w:r>
        <w:t>attends every National RDE Framework meeting</w:t>
      </w:r>
    </w:p>
    <w:p w14:paraId="0853A799" w14:textId="47954B25" w:rsidR="004E5A7F" w:rsidRDefault="004E5A7F" w:rsidP="004E5A7F">
      <w:pPr>
        <w:pStyle w:val="ListParagraph"/>
        <w:numPr>
          <w:ilvl w:val="0"/>
          <w:numId w:val="5"/>
        </w:numPr>
      </w:pPr>
      <w:r>
        <w:t xml:space="preserve">GM Research, Program Managers and other relevant AWI research staff to attend research conferences and seminars in line with the annual operational budget. </w:t>
      </w:r>
    </w:p>
    <w:p w14:paraId="79D2505C" w14:textId="2EFFBF8F" w:rsidR="004E5A7F" w:rsidRDefault="004E5A7F" w:rsidP="004E5A7F">
      <w:pPr>
        <w:pStyle w:val="ListParagraph"/>
        <w:numPr>
          <w:ilvl w:val="0"/>
          <w:numId w:val="5"/>
        </w:numPr>
      </w:pPr>
      <w:r>
        <w:t>AWI research staff to keep current contacts for their peers</w:t>
      </w:r>
      <w:r w:rsidR="003C32FF">
        <w:t xml:space="preserve"> and update the Call for Proposals subscription list.</w:t>
      </w:r>
    </w:p>
    <w:p w14:paraId="075FC63B" w14:textId="4DE21E51" w:rsidR="004E5A7F" w:rsidRDefault="004E5A7F" w:rsidP="004E5A7F">
      <w:pPr>
        <w:pStyle w:val="ListParagraph"/>
        <w:numPr>
          <w:ilvl w:val="0"/>
          <w:numId w:val="5"/>
        </w:numPr>
      </w:pPr>
      <w:r>
        <w:t>AWI research staff to keep file notes on all meetings and report items at the fortnightly Research team staff meetings.</w:t>
      </w:r>
    </w:p>
    <w:p w14:paraId="00446894" w14:textId="1F315EEC" w:rsidR="004E5A7F" w:rsidRDefault="004E5A7F" w:rsidP="004E5A7F">
      <w:pPr>
        <w:pStyle w:val="ListParagraph"/>
        <w:numPr>
          <w:ilvl w:val="0"/>
          <w:numId w:val="5"/>
        </w:numPr>
      </w:pPr>
      <w:r>
        <w:t>AWI to publish the outcomes of “Eureka” meetings on its website.</w:t>
      </w:r>
    </w:p>
    <w:p w14:paraId="3197B142" w14:textId="77777777" w:rsidR="000865EE" w:rsidRDefault="004E5A7F" w:rsidP="000865EE">
      <w:pPr>
        <w:pStyle w:val="ListParagraph"/>
        <w:numPr>
          <w:ilvl w:val="0"/>
          <w:numId w:val="5"/>
        </w:numPr>
      </w:pPr>
      <w:r>
        <w:t xml:space="preserve">AWI to invite </w:t>
      </w:r>
      <w:r w:rsidR="00625EFD">
        <w:t>researchers and investors from the public and private sector</w:t>
      </w:r>
      <w:r>
        <w:t xml:space="preserve"> to AWI hosted events such as the Flystrike R&amp;D update</w:t>
      </w:r>
      <w:r w:rsidR="00625EFD">
        <w:t xml:space="preserve"> or strategic workshops such as the AWI Artificial Breeding Workshop</w:t>
      </w:r>
      <w:r>
        <w:t>.</w:t>
      </w:r>
      <w:r w:rsidR="000865EE" w:rsidRPr="000865EE">
        <w:t xml:space="preserve"> </w:t>
      </w:r>
    </w:p>
    <w:p w14:paraId="2B5C4092" w14:textId="1A47C16A" w:rsidR="00B95CA4" w:rsidRPr="00B95CA4" w:rsidRDefault="000865EE" w:rsidP="00B95CA4">
      <w:pPr>
        <w:pStyle w:val="ListParagraph"/>
        <w:numPr>
          <w:ilvl w:val="0"/>
          <w:numId w:val="5"/>
        </w:numPr>
      </w:pPr>
      <w:r w:rsidRPr="00B95CA4">
        <w:t xml:space="preserve">AWI research staff to abide by </w:t>
      </w:r>
      <w:r w:rsidR="00B95CA4">
        <w:t>relevant AWI policies relating to</w:t>
      </w:r>
      <w:r w:rsidR="00721E34">
        <w:t xml:space="preserve"> procurement of goods and services and code of conduct</w:t>
      </w:r>
      <w:r w:rsidR="00B95CA4">
        <w:t>.</w:t>
      </w:r>
    </w:p>
    <w:p w14:paraId="00874FEC" w14:textId="6C4DE306" w:rsidR="00B95CA4" w:rsidRDefault="00B95CA4" w:rsidP="00B95CA4">
      <w:pPr>
        <w:pStyle w:val="ListParagraph"/>
        <w:rPr>
          <w:b/>
        </w:rPr>
      </w:pPr>
    </w:p>
    <w:p w14:paraId="030B494E" w14:textId="77777777" w:rsidR="006F5AD1" w:rsidRDefault="006F5AD1" w:rsidP="00B95CA4">
      <w:pPr>
        <w:pStyle w:val="ListParagraph"/>
        <w:rPr>
          <w:b/>
        </w:rPr>
      </w:pPr>
    </w:p>
    <w:p w14:paraId="73BC54A6" w14:textId="0D25DC76" w:rsidR="004E5A7F" w:rsidRPr="006F5AD1" w:rsidRDefault="004E5A7F" w:rsidP="006F5AD1">
      <w:pPr>
        <w:pStyle w:val="Heading1"/>
        <w:spacing w:line="360" w:lineRule="auto"/>
        <w:rPr>
          <w:b/>
          <w:color w:val="auto"/>
        </w:rPr>
      </w:pPr>
      <w:bookmarkStart w:id="3" w:name="_Toc3454365"/>
      <w:r w:rsidRPr="006F5AD1">
        <w:rPr>
          <w:b/>
          <w:color w:val="auto"/>
        </w:rPr>
        <w:t>C. Project management for collaboration</w:t>
      </w:r>
      <w:bookmarkEnd w:id="3"/>
    </w:p>
    <w:p w14:paraId="1713BBD7" w14:textId="2B405030" w:rsidR="00B95CA4" w:rsidRDefault="00B95CA4" w:rsidP="004E5A7F">
      <w:pPr>
        <w:pStyle w:val="ListParagraph"/>
        <w:numPr>
          <w:ilvl w:val="0"/>
          <w:numId w:val="6"/>
        </w:numPr>
      </w:pPr>
      <w:r>
        <w:t>These guidelines will be published on the AWI Call for Proposals web page</w:t>
      </w:r>
    </w:p>
    <w:p w14:paraId="1B086256" w14:textId="62133CE3" w:rsidR="004E5A7F" w:rsidRDefault="004E5A7F" w:rsidP="004E5A7F">
      <w:pPr>
        <w:pStyle w:val="ListParagraph"/>
        <w:numPr>
          <w:ilvl w:val="0"/>
          <w:numId w:val="6"/>
        </w:numPr>
      </w:pPr>
      <w:r>
        <w:t>The timing of the AWI annual Call for Proposals will align with MLA to enable joint consideration of proposals</w:t>
      </w:r>
    </w:p>
    <w:p w14:paraId="2BB144CD" w14:textId="4426EAD5" w:rsidR="004E5A7F" w:rsidRDefault="004E5A7F" w:rsidP="004E5A7F">
      <w:pPr>
        <w:pStyle w:val="ListParagraph"/>
        <w:numPr>
          <w:ilvl w:val="0"/>
          <w:numId w:val="6"/>
        </w:numPr>
      </w:pPr>
      <w:r>
        <w:t>The AWI Call for Proposals documentation will include those areas of the AWI Strategic Plan where AWI invites RDC collaboration</w:t>
      </w:r>
      <w:r w:rsidR="00647265">
        <w:t xml:space="preserve">. Key criteria </w:t>
      </w:r>
      <w:r w:rsidR="000865EE">
        <w:t xml:space="preserve">for RDC collaboration </w:t>
      </w:r>
      <w:r w:rsidR="00647265">
        <w:t>may include (but not be limited to) those taken from the National Wool RD&amp;E Strategy as follows:</w:t>
      </w:r>
    </w:p>
    <w:p w14:paraId="66DB12A3" w14:textId="3F79B1DB" w:rsidR="00647265" w:rsidRDefault="00647265" w:rsidP="00FE2928">
      <w:pPr>
        <w:pStyle w:val="ListParagraph"/>
        <w:numPr>
          <w:ilvl w:val="1"/>
          <w:numId w:val="6"/>
        </w:numPr>
        <w:ind w:left="1560"/>
      </w:pPr>
      <w:r>
        <w:t>Best practice on farm – labour, market specifications, parasites, reproduction, predators</w:t>
      </w:r>
    </w:p>
    <w:p w14:paraId="7D66E97A" w14:textId="7E8ABB84" w:rsidR="00647265" w:rsidRDefault="00647265" w:rsidP="00FE2928">
      <w:pPr>
        <w:pStyle w:val="ListParagraph"/>
        <w:numPr>
          <w:ilvl w:val="1"/>
          <w:numId w:val="6"/>
        </w:numPr>
        <w:ind w:left="1560"/>
      </w:pPr>
      <w:r>
        <w:t xml:space="preserve">Accelerating genetic gains </w:t>
      </w:r>
    </w:p>
    <w:p w14:paraId="7017ED98" w14:textId="215677E2" w:rsidR="00647265" w:rsidRDefault="00647265" w:rsidP="00FE2928">
      <w:pPr>
        <w:pStyle w:val="ListParagraph"/>
        <w:numPr>
          <w:ilvl w:val="1"/>
          <w:numId w:val="6"/>
        </w:numPr>
        <w:ind w:left="1560"/>
      </w:pPr>
      <w:r>
        <w:t xml:space="preserve">Enhancing welfare </w:t>
      </w:r>
    </w:p>
    <w:p w14:paraId="6102DF38" w14:textId="30A577B0" w:rsidR="00647265" w:rsidRDefault="00647265" w:rsidP="00FE2928">
      <w:pPr>
        <w:pStyle w:val="ListParagraph"/>
        <w:numPr>
          <w:ilvl w:val="1"/>
          <w:numId w:val="6"/>
        </w:numPr>
        <w:ind w:left="1560"/>
      </w:pPr>
      <w:r>
        <w:t>Effective biosecurity systems and enhanced product integrity</w:t>
      </w:r>
    </w:p>
    <w:p w14:paraId="463A630D" w14:textId="6DEAF05E" w:rsidR="00647265" w:rsidRDefault="00647265" w:rsidP="00FE2928">
      <w:pPr>
        <w:pStyle w:val="ListParagraph"/>
        <w:numPr>
          <w:ilvl w:val="1"/>
          <w:numId w:val="6"/>
        </w:numPr>
        <w:ind w:left="1560"/>
      </w:pPr>
      <w:r>
        <w:t>Enhanced resilience – climate variability, carbon markets, industry skills and knowledge</w:t>
      </w:r>
    </w:p>
    <w:p w14:paraId="48F6BF4A" w14:textId="49B09E4F" w:rsidR="00647265" w:rsidRDefault="00647265" w:rsidP="00FE2928">
      <w:pPr>
        <w:pStyle w:val="ListParagraph"/>
        <w:numPr>
          <w:ilvl w:val="1"/>
          <w:numId w:val="6"/>
        </w:numPr>
        <w:ind w:left="1560"/>
      </w:pPr>
      <w:r>
        <w:t xml:space="preserve">Environmentally sustainable enterprises – pasture productivity and natural resource management </w:t>
      </w:r>
    </w:p>
    <w:p w14:paraId="0CF98E12" w14:textId="3D3E3851" w:rsidR="00647265" w:rsidRDefault="00647265" w:rsidP="00FE2928">
      <w:pPr>
        <w:pStyle w:val="ListParagraph"/>
        <w:numPr>
          <w:ilvl w:val="1"/>
          <w:numId w:val="6"/>
        </w:numPr>
        <w:ind w:left="1560"/>
      </w:pPr>
      <w:r>
        <w:t>Building strategic thinking</w:t>
      </w:r>
    </w:p>
    <w:p w14:paraId="0B534ABE" w14:textId="652E6FA0" w:rsidR="002D4C44" w:rsidRDefault="002D4C44" w:rsidP="004E5A7F">
      <w:pPr>
        <w:pStyle w:val="ListParagraph"/>
        <w:numPr>
          <w:ilvl w:val="0"/>
          <w:numId w:val="6"/>
        </w:numPr>
      </w:pPr>
      <w:r>
        <w:t xml:space="preserve">AWI’s Call for Proposal website will encourage those developing proposals to discuss matters with relevant AWI staff prior to proposal submission  </w:t>
      </w:r>
    </w:p>
    <w:p w14:paraId="4AA931DB" w14:textId="4E2CA359" w:rsidR="004E5A7F" w:rsidRDefault="004E5A7F" w:rsidP="004E5A7F">
      <w:pPr>
        <w:pStyle w:val="ListParagraph"/>
        <w:numPr>
          <w:ilvl w:val="0"/>
          <w:numId w:val="6"/>
        </w:numPr>
      </w:pPr>
      <w:r>
        <w:t>The AWI Proposal Assessment Tool will identify whether the proposal has potential for collaboration</w:t>
      </w:r>
      <w:r w:rsidR="006002E1">
        <w:t xml:space="preserve"> with multiple parties</w:t>
      </w:r>
      <w:r>
        <w:t>.</w:t>
      </w:r>
    </w:p>
    <w:p w14:paraId="79F0C8B4" w14:textId="67F3DA20" w:rsidR="004C5953" w:rsidRDefault="004C5953" w:rsidP="004E5A7F">
      <w:pPr>
        <w:pStyle w:val="ListParagraph"/>
        <w:numPr>
          <w:ilvl w:val="0"/>
          <w:numId w:val="6"/>
        </w:numPr>
      </w:pPr>
      <w:r>
        <w:t xml:space="preserve">The AWI Project Management tool will </w:t>
      </w:r>
      <w:r w:rsidR="00625EFD">
        <w:t>identify RDC</w:t>
      </w:r>
      <w:r>
        <w:t xml:space="preserve"> collaboration for approved projects.</w:t>
      </w:r>
    </w:p>
    <w:p w14:paraId="22F801A3" w14:textId="1103E541" w:rsidR="004C5953" w:rsidRDefault="004E5A7F" w:rsidP="004E5A7F">
      <w:pPr>
        <w:pStyle w:val="ListParagraph"/>
        <w:numPr>
          <w:ilvl w:val="0"/>
          <w:numId w:val="6"/>
        </w:numPr>
      </w:pPr>
      <w:r>
        <w:t xml:space="preserve">On the AWI Contract Checklist staff will record </w:t>
      </w:r>
      <w:r w:rsidR="004C5953">
        <w:t xml:space="preserve">the outcome of </w:t>
      </w:r>
      <w:r>
        <w:t>efforts to identify a</w:t>
      </w:r>
      <w:r w:rsidR="00625EFD">
        <w:t>n RDC</w:t>
      </w:r>
      <w:r>
        <w:t xml:space="preserve"> collaborator </w:t>
      </w:r>
    </w:p>
    <w:p w14:paraId="5C75E799" w14:textId="797D5F84" w:rsidR="00A31CB4" w:rsidRDefault="00A31CB4" w:rsidP="00625EFD">
      <w:pPr>
        <w:pStyle w:val="ListParagraph"/>
        <w:numPr>
          <w:ilvl w:val="0"/>
          <w:numId w:val="6"/>
        </w:numPr>
      </w:pPr>
      <w:r>
        <w:t>Written feedback from AWI to proposal proponents (successful or unsuccessful) refers to these guidelines, explains the reason for AWI’s decision and invites a response from the proponent.</w:t>
      </w:r>
    </w:p>
    <w:p w14:paraId="170E37E6" w14:textId="6307ED01" w:rsidR="00370800" w:rsidRDefault="00370800" w:rsidP="004E5A7F">
      <w:pPr>
        <w:rPr>
          <w:b/>
        </w:rPr>
      </w:pPr>
    </w:p>
    <w:p w14:paraId="421C3DFF" w14:textId="77777777" w:rsidR="006F5AD1" w:rsidRDefault="006F5AD1" w:rsidP="004E5A7F">
      <w:pPr>
        <w:rPr>
          <w:b/>
        </w:rPr>
      </w:pPr>
    </w:p>
    <w:p w14:paraId="5C926DEE" w14:textId="55F4452A" w:rsidR="004E5A7F" w:rsidRPr="006F5AD1" w:rsidRDefault="004E5A7F" w:rsidP="006F5AD1">
      <w:pPr>
        <w:pStyle w:val="Heading1"/>
        <w:spacing w:line="360" w:lineRule="auto"/>
        <w:rPr>
          <w:b/>
          <w:color w:val="auto"/>
        </w:rPr>
      </w:pPr>
      <w:bookmarkStart w:id="4" w:name="_Toc3454366"/>
      <w:r w:rsidRPr="006F5AD1">
        <w:rPr>
          <w:b/>
          <w:color w:val="auto"/>
        </w:rPr>
        <w:t>D. Guideline review</w:t>
      </w:r>
      <w:bookmarkEnd w:id="4"/>
    </w:p>
    <w:p w14:paraId="78901BF3" w14:textId="02DFF899" w:rsidR="004E5A7F" w:rsidRDefault="004E5A7F" w:rsidP="004E5A7F">
      <w:r>
        <w:t xml:space="preserve">These Guidelines </w:t>
      </w:r>
      <w:r w:rsidR="000865EE">
        <w:t xml:space="preserve">are </w:t>
      </w:r>
      <w:r>
        <w:t xml:space="preserve">reviewed </w:t>
      </w:r>
      <w:r w:rsidR="000865EE">
        <w:t>prior to each annual Call for Proposals</w:t>
      </w:r>
      <w:r>
        <w:t>.</w:t>
      </w:r>
    </w:p>
    <w:sectPr w:rsidR="004E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43D91" w14:textId="77777777" w:rsidR="002A60CF" w:rsidRDefault="002A60CF" w:rsidP="00FE2928">
      <w:pPr>
        <w:spacing w:after="0" w:line="240" w:lineRule="auto"/>
      </w:pPr>
      <w:r>
        <w:separator/>
      </w:r>
    </w:p>
  </w:endnote>
  <w:endnote w:type="continuationSeparator" w:id="0">
    <w:p w14:paraId="77073423" w14:textId="77777777" w:rsidR="002A60CF" w:rsidRDefault="002A60CF" w:rsidP="00FE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6317" w14:textId="77777777" w:rsidR="002A60CF" w:rsidRDefault="002A60CF" w:rsidP="00FE2928">
      <w:pPr>
        <w:spacing w:after="0" w:line="240" w:lineRule="auto"/>
      </w:pPr>
      <w:r>
        <w:separator/>
      </w:r>
    </w:p>
  </w:footnote>
  <w:footnote w:type="continuationSeparator" w:id="0">
    <w:p w14:paraId="69FC39F9" w14:textId="77777777" w:rsidR="002A60CF" w:rsidRDefault="002A60CF" w:rsidP="00FE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3AE"/>
    <w:multiLevelType w:val="hybridMultilevel"/>
    <w:tmpl w:val="6C1846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538D"/>
    <w:multiLevelType w:val="hybridMultilevel"/>
    <w:tmpl w:val="217258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238D2">
      <w:start w:val="4"/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1A03"/>
    <w:multiLevelType w:val="hybridMultilevel"/>
    <w:tmpl w:val="7370F8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92DA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338C"/>
    <w:multiLevelType w:val="hybridMultilevel"/>
    <w:tmpl w:val="8DDE0D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011A"/>
    <w:multiLevelType w:val="hybridMultilevel"/>
    <w:tmpl w:val="E3167F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34D70"/>
    <w:multiLevelType w:val="hybridMultilevel"/>
    <w:tmpl w:val="7AA489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12E2"/>
    <w:multiLevelType w:val="hybridMultilevel"/>
    <w:tmpl w:val="4218FB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7F"/>
    <w:rsid w:val="00081E72"/>
    <w:rsid w:val="000865EE"/>
    <w:rsid w:val="001729C2"/>
    <w:rsid w:val="00193408"/>
    <w:rsid w:val="001A3FB8"/>
    <w:rsid w:val="002A60CF"/>
    <w:rsid w:val="002D4C44"/>
    <w:rsid w:val="00370800"/>
    <w:rsid w:val="003C32FF"/>
    <w:rsid w:val="00433F6D"/>
    <w:rsid w:val="004B280F"/>
    <w:rsid w:val="004C5953"/>
    <w:rsid w:val="004E5A7F"/>
    <w:rsid w:val="004E639C"/>
    <w:rsid w:val="006002E1"/>
    <w:rsid w:val="00625EFD"/>
    <w:rsid w:val="00647265"/>
    <w:rsid w:val="00674D2B"/>
    <w:rsid w:val="006761FE"/>
    <w:rsid w:val="006F5AD1"/>
    <w:rsid w:val="00721E34"/>
    <w:rsid w:val="007375C9"/>
    <w:rsid w:val="007466CE"/>
    <w:rsid w:val="00752464"/>
    <w:rsid w:val="00853479"/>
    <w:rsid w:val="00A31CB4"/>
    <w:rsid w:val="00AB1838"/>
    <w:rsid w:val="00AB5062"/>
    <w:rsid w:val="00B95CA4"/>
    <w:rsid w:val="00BA6D7A"/>
    <w:rsid w:val="00C66C5F"/>
    <w:rsid w:val="00CB5B32"/>
    <w:rsid w:val="00D5049A"/>
    <w:rsid w:val="00D92BC3"/>
    <w:rsid w:val="00E13E8F"/>
    <w:rsid w:val="00E54303"/>
    <w:rsid w:val="00EC0D9B"/>
    <w:rsid w:val="00F251B0"/>
    <w:rsid w:val="00F9797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207D3"/>
  <w15:chartTrackingRefBased/>
  <w15:docId w15:val="{6AD17063-5816-4E56-B28B-A1CC741B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F5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A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7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2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5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9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9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928"/>
  </w:style>
  <w:style w:type="paragraph" w:styleId="Footer">
    <w:name w:val="footer"/>
    <w:basedOn w:val="Normal"/>
    <w:link w:val="FooterChar"/>
    <w:uiPriority w:val="99"/>
    <w:unhideWhenUsed/>
    <w:rsid w:val="00FE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928"/>
  </w:style>
  <w:style w:type="paragraph" w:styleId="Title">
    <w:name w:val="Title"/>
    <w:basedOn w:val="Normal"/>
    <w:next w:val="Normal"/>
    <w:link w:val="TitleChar"/>
    <w:uiPriority w:val="10"/>
    <w:qFormat/>
    <w:rsid w:val="006F5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F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F5AD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F5A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ol.com/education-and-extension/national-wool-research-development-and-extension-strategy/strategy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Littlejohn</dc:creator>
  <cp:keywords/>
  <dc:description/>
  <cp:lastModifiedBy>Jane Littlejohn</cp:lastModifiedBy>
  <cp:revision>4</cp:revision>
  <dcterms:created xsi:type="dcterms:W3CDTF">2019-05-09T04:39:00Z</dcterms:created>
  <dcterms:modified xsi:type="dcterms:W3CDTF">2019-05-09T04:43:00Z</dcterms:modified>
</cp:coreProperties>
</file>